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rtl w:val="0"/>
        </w:rPr>
        <w:t xml:space="preserve">Ženkliuko aprašymo šablonas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Eikite į „Google“ dokumentų meniu, spustelėkite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Failai -&gt; Padaryti kopiją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ir atsisiųskite šį šabloną. Užpildykite jį ir įkelkite failą į įrodymų laukelį, kad gautumėte ženklelį. 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Ženkliuko tikslas: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Ženkliuko tipas: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Trumpai apibūdinkite potencialaus ženkliuko gavėjo profilį: 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470"/>
        <w:tblGridChange w:id="0">
          <w:tblGrid>
            <w:gridCol w:w="1815"/>
            <w:gridCol w:w="7470"/>
          </w:tblGrid>
        </w:tblGridChange>
      </w:tblGrid>
      <w:tr>
        <w:trPr>
          <w:cantSplit w:val="0"/>
          <w:trHeight w:val="828.935546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Ženkliuko pavadinimas ir vaizdas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Aprašymas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Užduotis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(tai yra ženkliuko įgijimo kriterijus, galite turėti daugiau nei vieną užduotį, kad gautumėte ženkliuką)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Vertinimo metodas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Įsivertinimas (savęs patvirtintas ženkliukas)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Kolegų vertinimas (kiti dalyviai vertina ir tvirtina įrodymus)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Išorinis vertinimas (programos vadovas/fasilitatorius įvertina ir patvirtina įrodymus)</w:t>
            </w:r>
          </w:p>
        </w:tc>
      </w:tr>
      <w:tr>
        <w:trPr>
          <w:cantSplit w:val="0"/>
          <w:trHeight w:val="828.9355468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Įgūdžiai pripažinti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0.3937007874016" w:top="850.3937007874016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-733423</wp:posOffset>
          </wp:positionH>
          <wp:positionV relativeFrom="paragraph">
            <wp:posOffset>-457197</wp:posOffset>
          </wp:positionV>
          <wp:extent cx="7581900" cy="7334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